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98" w:rsidRPr="00007398" w:rsidRDefault="00AD5400">
      <w:pPr>
        <w:rPr>
          <w:sz w:val="28"/>
          <w:szCs w:val="28"/>
        </w:rPr>
      </w:pPr>
      <w:r>
        <w:rPr>
          <w:sz w:val="28"/>
          <w:szCs w:val="28"/>
        </w:rPr>
        <w:t>The 2013 Third</w:t>
      </w:r>
      <w:r w:rsidR="00CF7E81">
        <w:rPr>
          <w:sz w:val="28"/>
          <w:szCs w:val="28"/>
        </w:rPr>
        <w:t xml:space="preserve"> and Fourth</w:t>
      </w:r>
      <w:r w:rsidR="00007398" w:rsidRPr="00007398">
        <w:rPr>
          <w:sz w:val="28"/>
          <w:szCs w:val="28"/>
        </w:rPr>
        <w:t xml:space="preserve"> Quarter NCLEX-RN</w:t>
      </w:r>
      <w:r w:rsidR="00007398" w:rsidRPr="00007398">
        <w:rPr>
          <w:rFonts w:ascii="Arial" w:hAnsi="Arial" w:cs="Arial"/>
          <w:sz w:val="28"/>
          <w:szCs w:val="28"/>
          <w:vertAlign w:val="superscript"/>
        </w:rPr>
        <w:t>®</w:t>
      </w:r>
      <w:r w:rsidR="00007398" w:rsidRPr="00007398">
        <w:rPr>
          <w:sz w:val="28"/>
          <w:szCs w:val="28"/>
        </w:rPr>
        <w:t xml:space="preserve"> Results are in….</w:t>
      </w:r>
    </w:p>
    <w:p w:rsidR="008105E3" w:rsidRDefault="00A37A05" w:rsidP="00CF7E81">
      <w:r>
        <w:t>The increase to the NCLEX-RN</w:t>
      </w:r>
      <w:r w:rsidR="001E3A47" w:rsidRPr="001E3A47">
        <w:rPr>
          <w:rFonts w:ascii="Arial" w:hAnsi="Arial" w:cs="Arial"/>
          <w:vertAlign w:val="superscript"/>
        </w:rPr>
        <w:t>®</w:t>
      </w:r>
      <w:r>
        <w:t xml:space="preserve"> passing standard</w:t>
      </w:r>
      <w:r w:rsidR="00CF7E81">
        <w:t xml:space="preserve"> has created quite a buzz with nurse educators this year</w:t>
      </w:r>
      <w:r w:rsidR="0088235C">
        <w:t>.  W</w:t>
      </w:r>
      <w:r w:rsidR="00CF7E81">
        <w:t>ith the inaugural drop in the pass rate during the second quarter of 2013 when the passing standard increase first went into effect, we knew we would need to see more data from subsequent quarters to note any lasting trends.  To create a full picture, we</w:t>
      </w:r>
      <w:r w:rsidR="008A170E">
        <w:t xml:space="preserve"> also</w:t>
      </w:r>
      <w:r w:rsidR="003B669B">
        <w:t xml:space="preserve"> wanted to</w:t>
      </w:r>
      <w:r w:rsidR="00CF7E81">
        <w:t xml:space="preserve"> look</w:t>
      </w:r>
      <w:r w:rsidR="003B669B">
        <w:t xml:space="preserve"> </w:t>
      </w:r>
      <w:r w:rsidR="008A170E">
        <w:t>at changes to the pass r</w:t>
      </w:r>
      <w:r w:rsidR="004D3F85">
        <w:t>ate</w:t>
      </w:r>
      <w:r w:rsidR="003B669B">
        <w:t>s</w:t>
      </w:r>
      <w:r w:rsidR="004D3F85">
        <w:t xml:space="preserve"> in 2010, 2007 and 2003 to note trends in past years</w:t>
      </w:r>
      <w:r w:rsidR="008A170E">
        <w:t>.</w:t>
      </w:r>
    </w:p>
    <w:p w:rsidR="00170200" w:rsidRPr="00170200" w:rsidRDefault="00F615F7" w:rsidP="00170200">
      <w:pPr>
        <w:rPr>
          <w:u w:val="single"/>
        </w:rPr>
      </w:pPr>
      <w:r w:rsidRPr="00170200">
        <w:rPr>
          <w:u w:val="single"/>
        </w:rPr>
        <w:t>A few items of interest:</w:t>
      </w:r>
    </w:p>
    <w:p w:rsidR="00F615F7" w:rsidRDefault="00F615F7" w:rsidP="00170200">
      <w:pPr>
        <w:pStyle w:val="ListParagraph"/>
        <w:numPr>
          <w:ilvl w:val="0"/>
          <w:numId w:val="2"/>
        </w:numPr>
      </w:pPr>
      <w:r>
        <w:t>Historically, the second quarter in each year (when the pass rate does not change) produces the highest pass rate</w:t>
      </w:r>
      <w:r w:rsidR="008A170E">
        <w:t>.</w:t>
      </w:r>
    </w:p>
    <w:p w:rsidR="0088235C" w:rsidRDefault="00F615F7" w:rsidP="00170200">
      <w:pPr>
        <w:pStyle w:val="ListParagraph"/>
        <w:numPr>
          <w:ilvl w:val="0"/>
          <w:numId w:val="2"/>
        </w:numPr>
      </w:pPr>
      <w:r>
        <w:t>His</w:t>
      </w:r>
      <w:r w:rsidR="008A170E">
        <w:t>t</w:t>
      </w:r>
      <w:r>
        <w:t>orically, the fourth quarter</w:t>
      </w:r>
      <w:r w:rsidR="0088235C">
        <w:t xml:space="preserve"> has the lowest pass rate </w:t>
      </w:r>
      <w:r>
        <w:t>regardless of whe</w:t>
      </w:r>
      <w:r w:rsidR="00170200">
        <w:t xml:space="preserve">ther or not there was a change </w:t>
      </w:r>
      <w:r>
        <w:t>to the passing</w:t>
      </w:r>
      <w:r w:rsidR="008A170E">
        <w:t xml:space="preserve"> standard.</w:t>
      </w:r>
    </w:p>
    <w:p w:rsidR="008F19C5" w:rsidRPr="00F06D18" w:rsidRDefault="0088235C" w:rsidP="00F06D18">
      <w:pPr>
        <w:pStyle w:val="ListParagraph"/>
        <w:numPr>
          <w:ilvl w:val="0"/>
          <w:numId w:val="2"/>
        </w:numPr>
      </w:pPr>
      <w:r>
        <w:t xml:space="preserve">Historically, the first and third quarters usually have similar pass rates. </w:t>
      </w:r>
    </w:p>
    <w:p w:rsidR="002F7E09" w:rsidRDefault="00170200" w:rsidP="00170200">
      <w:r>
        <w:t xml:space="preserve">As a reminder, </w:t>
      </w:r>
      <w:r w:rsidR="0051035D">
        <w:t xml:space="preserve">when the passing standard went from -0.16 to 0.00 </w:t>
      </w:r>
      <w:proofErr w:type="spellStart"/>
      <w:r w:rsidR="0051035D">
        <w:t>logits</w:t>
      </w:r>
      <w:proofErr w:type="spellEnd"/>
      <w:r w:rsidR="0051035D">
        <w:t xml:space="preserve"> in the second quarter of 2013 (April 1</w:t>
      </w:r>
      <w:r w:rsidR="0051035D" w:rsidRPr="0051035D">
        <w:rPr>
          <w:vertAlign w:val="superscript"/>
        </w:rPr>
        <w:t>st</w:t>
      </w:r>
      <w:r w:rsidR="0051035D">
        <w:t xml:space="preserve"> to June 30</w:t>
      </w:r>
      <w:r w:rsidR="0051035D" w:rsidRPr="0051035D">
        <w:rPr>
          <w:vertAlign w:val="superscript"/>
        </w:rPr>
        <w:t>th</w:t>
      </w:r>
      <w:r w:rsidR="0051035D">
        <w:t xml:space="preserve">), </w:t>
      </w:r>
      <w:r>
        <w:t>the pass rate for first-time US educated test-taker</w:t>
      </w:r>
      <w:r w:rsidR="0051035D">
        <w:t>s</w:t>
      </w:r>
      <w:r>
        <w:t xml:space="preserve"> was 83%</w:t>
      </w:r>
      <w:r w:rsidR="0088235C">
        <w:t xml:space="preserve">.  This </w:t>
      </w:r>
      <w:r>
        <w:t>represent</w:t>
      </w:r>
      <w:r w:rsidR="00737141">
        <w:t>ed</w:t>
      </w:r>
      <w:r>
        <w:t xml:space="preserve"> a drop of nearly 10% from the same time period in 2012.</w:t>
      </w:r>
      <w:r w:rsidR="002F7E09">
        <w:t xml:space="preserve">  Th</w:t>
      </w:r>
      <w:r w:rsidR="0051035D">
        <w:t>is</w:t>
      </w:r>
      <w:r w:rsidR="002F7E09">
        <w:t xml:space="preserve"> change in the passing standard is one of the more </w:t>
      </w:r>
      <w:r w:rsidR="0051035D">
        <w:t>notable</w:t>
      </w:r>
      <w:r w:rsidR="002F7E09">
        <w:t xml:space="preserve"> in recent NCLEX </w:t>
      </w:r>
      <w:r w:rsidR="0051035D">
        <w:t xml:space="preserve">scoring </w:t>
      </w:r>
      <w:r w:rsidR="002F7E09">
        <w:t>history.   Comparatively, in 2010 when the passing standard</w:t>
      </w:r>
      <w:r w:rsidR="008E199B">
        <w:t xml:space="preserve"> increased from</w:t>
      </w:r>
      <w:r w:rsidR="002F7E09">
        <w:t xml:space="preserve"> -0.21 to -0.16</w:t>
      </w:r>
      <w:r w:rsidR="0088235C">
        <w:t xml:space="preserve"> </w:t>
      </w:r>
      <w:proofErr w:type="spellStart"/>
      <w:r w:rsidR="0088235C">
        <w:t>logits</w:t>
      </w:r>
      <w:proofErr w:type="spellEnd"/>
      <w:r w:rsidR="002F7E09">
        <w:t xml:space="preserve">, the second quarter pass rate was 90.28% </w:t>
      </w:r>
      <w:r w:rsidR="00250FF6">
        <w:t xml:space="preserve">which was a slight decrease </w:t>
      </w:r>
      <w:r w:rsidR="002F7E09">
        <w:t>from the 90.79</w:t>
      </w:r>
      <w:r w:rsidR="004D3F85">
        <w:t>%</w:t>
      </w:r>
      <w:r w:rsidR="002F7E09">
        <w:t xml:space="preserve"> pass rate in the second quarter of 2009.  In 2007, the passing standard went from -0.28 to -0.21</w:t>
      </w:r>
      <w:r w:rsidR="0088235C">
        <w:t xml:space="preserve"> </w:t>
      </w:r>
      <w:proofErr w:type="spellStart"/>
      <w:r w:rsidR="0088235C">
        <w:t>logits</w:t>
      </w:r>
      <w:proofErr w:type="spellEnd"/>
      <w:r w:rsidR="0051035D">
        <w:t xml:space="preserve"> in the second quarter,</w:t>
      </w:r>
      <w:r w:rsidR="002F7E09">
        <w:t xml:space="preserve"> and the pass rate </w:t>
      </w:r>
      <w:r w:rsidR="00250FF6">
        <w:t xml:space="preserve">decreased </w:t>
      </w:r>
      <w:r w:rsidR="002F7E09">
        <w:t xml:space="preserve">to 87.6% from 90.5% in the second quarter of 2006.  Finally, if we go back to 2004 when the </w:t>
      </w:r>
      <w:r w:rsidR="00250FF6">
        <w:t xml:space="preserve">passing standard </w:t>
      </w:r>
      <w:r w:rsidR="002F7E09">
        <w:t>went from -0.35 to -0.28</w:t>
      </w:r>
      <w:r w:rsidR="00250FF6">
        <w:t xml:space="preserve"> </w:t>
      </w:r>
      <w:proofErr w:type="spellStart"/>
      <w:r w:rsidR="00250FF6">
        <w:t>logits</w:t>
      </w:r>
      <w:proofErr w:type="spellEnd"/>
      <w:r w:rsidR="0051035D">
        <w:t xml:space="preserve"> in the second quarter</w:t>
      </w:r>
      <w:r w:rsidR="00250FF6">
        <w:t xml:space="preserve">, </w:t>
      </w:r>
      <w:r w:rsidR="002F7E09">
        <w:t>the pass rate went to 88.5% from 90.1% in the second quarter of 2003.</w:t>
      </w:r>
    </w:p>
    <w:p w:rsidR="002F7E09" w:rsidRDefault="003B669B" w:rsidP="00170200">
      <w:r>
        <w:t>Does a larger drop in the pass rate correlate to a larger change in the passing standard?</w:t>
      </w:r>
      <w:r w:rsidR="00737141">
        <w:t xml:space="preserve"> </w:t>
      </w:r>
      <w:r w:rsidR="00000240">
        <w:t xml:space="preserve"> There are too many variables affecting student preparation to allow us to draw that conclusion, but we can note that</w:t>
      </w:r>
      <w:r w:rsidR="0015199A">
        <w:t xml:space="preserve"> </w:t>
      </w:r>
      <w:r w:rsidR="00000240">
        <w:t>t</w:t>
      </w:r>
      <w:r w:rsidR="002F7E09">
        <w:t>he third and fourth quarters of this year also have produced significant drops.  The third quarter pass rate was 80.78%, and the fourth quarter pass rate is 69.00% which is lowest pass rate since the move t</w:t>
      </w:r>
      <w:r w:rsidR="008E199B">
        <w:t>o the Computer Adaptive Test</w:t>
      </w:r>
      <w:r w:rsidR="002F7E09">
        <w:t xml:space="preserve"> </w:t>
      </w:r>
      <w:r w:rsidR="008E199B">
        <w:t>(</w:t>
      </w:r>
      <w:r w:rsidR="002F7E09">
        <w:t>CAT</w:t>
      </w:r>
      <w:r w:rsidR="008E199B">
        <w:t>)</w:t>
      </w:r>
      <w:r w:rsidR="002F7E09">
        <w:t xml:space="preserve"> in 1994.</w:t>
      </w:r>
    </w:p>
    <w:p w:rsidR="001E3A47" w:rsidRPr="001E3A47" w:rsidRDefault="004D3F85" w:rsidP="001E3A47">
      <w:pPr>
        <w:pStyle w:val="CommentText"/>
        <w:rPr>
          <w:sz w:val="22"/>
          <w:szCs w:val="22"/>
        </w:rPr>
      </w:pPr>
      <w:r w:rsidRPr="001E3A47">
        <w:rPr>
          <w:sz w:val="22"/>
          <w:szCs w:val="22"/>
        </w:rPr>
        <w:t>We have also looked at</w:t>
      </w:r>
      <w:r w:rsidR="0015199A" w:rsidRPr="001E3A47">
        <w:rPr>
          <w:sz w:val="22"/>
          <w:szCs w:val="22"/>
        </w:rPr>
        <w:t xml:space="preserve"> the pass rates for US educated repeat test-takers.  Repeat test takers have always had </w:t>
      </w:r>
      <w:r w:rsidR="00250FF6" w:rsidRPr="001E3A47">
        <w:rPr>
          <w:sz w:val="22"/>
          <w:szCs w:val="22"/>
        </w:rPr>
        <w:t xml:space="preserve">a </w:t>
      </w:r>
      <w:r w:rsidR="0015199A" w:rsidRPr="001E3A47">
        <w:rPr>
          <w:sz w:val="22"/>
          <w:szCs w:val="22"/>
        </w:rPr>
        <w:t>lower passing percentage than the first time test-takers</w:t>
      </w:r>
      <w:r w:rsidR="001E3A47">
        <w:rPr>
          <w:sz w:val="22"/>
          <w:szCs w:val="22"/>
        </w:rPr>
        <w:t>, and i</w:t>
      </w:r>
      <w:r w:rsidR="00250FF6" w:rsidRPr="001E3A47">
        <w:rPr>
          <w:sz w:val="22"/>
          <w:szCs w:val="22"/>
        </w:rPr>
        <w:t>n 2</w:t>
      </w:r>
      <w:r w:rsidR="0015199A" w:rsidRPr="001E3A47">
        <w:rPr>
          <w:sz w:val="22"/>
          <w:szCs w:val="22"/>
        </w:rPr>
        <w:t>013 we see that those pass rates have dropped even lower.  The 29.91% in the second quarter of 2013 is the lowest in modern NCLEX</w:t>
      </w:r>
      <w:r w:rsidR="001E3A47">
        <w:rPr>
          <w:sz w:val="22"/>
          <w:szCs w:val="22"/>
        </w:rPr>
        <w:t>-RN</w:t>
      </w:r>
      <w:r w:rsidR="001E3A47" w:rsidRPr="001E3A47">
        <w:rPr>
          <w:rFonts w:ascii="Arial" w:hAnsi="Arial" w:cs="Arial"/>
          <w:sz w:val="22"/>
          <w:szCs w:val="22"/>
          <w:vertAlign w:val="superscript"/>
        </w:rPr>
        <w:t>®</w:t>
      </w:r>
      <w:r w:rsidR="0015199A" w:rsidRPr="001E3A47">
        <w:rPr>
          <w:sz w:val="22"/>
          <w:szCs w:val="22"/>
        </w:rPr>
        <w:t xml:space="preserve"> history.</w:t>
      </w:r>
      <w:r w:rsidR="00250FF6" w:rsidRPr="001E3A47">
        <w:rPr>
          <w:sz w:val="22"/>
          <w:szCs w:val="22"/>
        </w:rPr>
        <w:t xml:space="preserve">  The pass rate for repeat US-Educated candidates rebounded </w:t>
      </w:r>
      <w:r w:rsidR="00000240" w:rsidRPr="001E3A47">
        <w:rPr>
          <w:sz w:val="22"/>
          <w:szCs w:val="22"/>
        </w:rPr>
        <w:t>to 57.05 in the third quarter, but dropped to 45.12% in the fourth quarter.</w:t>
      </w:r>
      <w:r w:rsidR="00737141" w:rsidRPr="001E3A47">
        <w:rPr>
          <w:sz w:val="22"/>
          <w:szCs w:val="22"/>
        </w:rPr>
        <w:t xml:space="preserve">  </w:t>
      </w:r>
      <w:r w:rsidR="001E3A47" w:rsidRPr="001E3A47">
        <w:rPr>
          <w:sz w:val="22"/>
          <w:szCs w:val="22"/>
        </w:rPr>
        <w:t xml:space="preserve"> It is important to identify at-risk students prior to taking the NCLEX</w:t>
      </w:r>
      <w:r w:rsidR="001E3A47">
        <w:rPr>
          <w:sz w:val="22"/>
          <w:szCs w:val="22"/>
        </w:rPr>
        <w:t>-RN</w:t>
      </w:r>
      <w:r w:rsidR="001E3A47" w:rsidRPr="001E3A47">
        <w:rPr>
          <w:rFonts w:ascii="Arial" w:hAnsi="Arial" w:cs="Arial"/>
          <w:sz w:val="22"/>
          <w:szCs w:val="22"/>
          <w:vertAlign w:val="superscript"/>
        </w:rPr>
        <w:t>®</w:t>
      </w:r>
      <w:r w:rsidR="001E3A47" w:rsidRPr="001E3A47">
        <w:rPr>
          <w:sz w:val="22"/>
          <w:szCs w:val="22"/>
        </w:rPr>
        <w:t>.</w:t>
      </w:r>
    </w:p>
    <w:p w:rsidR="00F06D18" w:rsidRDefault="00F06D18" w:rsidP="00F06D18"/>
    <w:p w:rsidR="008A170E" w:rsidRDefault="002F7E09" w:rsidP="00F06D18">
      <w:pPr>
        <w:rPr>
          <w:rFonts w:ascii="Cambria" w:eastAsia="Times New Roman" w:hAnsi="Cambria" w:cs="Times New Roman"/>
          <w:color w:val="000000"/>
        </w:rPr>
      </w:pPr>
      <w:r>
        <w:t>The chart below provides comparison among the 2</w:t>
      </w:r>
      <w:r w:rsidRPr="002F7E09">
        <w:rPr>
          <w:vertAlign w:val="superscript"/>
        </w:rPr>
        <w:t>nd</w:t>
      </w:r>
      <w:r>
        <w:t>, 3</w:t>
      </w:r>
      <w:r w:rsidRPr="002F7E09">
        <w:rPr>
          <w:vertAlign w:val="superscript"/>
        </w:rPr>
        <w:t>rd</w:t>
      </w:r>
      <w:r>
        <w:t xml:space="preserve"> and 4</w:t>
      </w:r>
      <w:r w:rsidRPr="002F7E09">
        <w:rPr>
          <w:vertAlign w:val="superscript"/>
        </w:rPr>
        <w:t>th</w:t>
      </w:r>
      <w:r>
        <w:t xml:space="preserve"> quarters for the years prior</w:t>
      </w:r>
      <w:r w:rsidR="00DB0E74">
        <w:t xml:space="preserve"> the change in </w:t>
      </w:r>
      <w:r w:rsidR="00F06D18">
        <w:t xml:space="preserve">the </w:t>
      </w:r>
      <w:r w:rsidR="00DB0E74">
        <w:t>passing standard and the years</w:t>
      </w:r>
      <w:r w:rsidR="00391110">
        <w:t xml:space="preserve"> in which</w:t>
      </w:r>
      <w:r w:rsidR="00DB0E74">
        <w:t xml:space="preserve"> the passing standard changed.  The change</w:t>
      </w:r>
      <w:r w:rsidR="00391110">
        <w:t xml:space="preserve"> in </w:t>
      </w:r>
      <w:proofErr w:type="spellStart"/>
      <w:r w:rsidR="00391110">
        <w:t>logits</w:t>
      </w:r>
      <w:proofErr w:type="spellEnd"/>
      <w:r w:rsidR="00391110">
        <w:t xml:space="preserve"> is</w:t>
      </w:r>
      <w:r w:rsidR="00DB0E74">
        <w:t xml:space="preserve"> </w:t>
      </w:r>
      <w:r w:rsidR="00737141">
        <w:t>indicated in parentheses</w:t>
      </w:r>
      <w:r w:rsidR="00DB0E74">
        <w:t xml:space="preserve">. </w:t>
      </w:r>
      <w:r>
        <w:t xml:space="preserve">  </w:t>
      </w:r>
    </w:p>
    <w:p w:rsidR="00235A4D" w:rsidRPr="00F06D18" w:rsidRDefault="00291033" w:rsidP="00F06D18">
      <w:r>
        <w:rPr>
          <w:noProof/>
        </w:rPr>
        <w:lastRenderedPageBreak/>
        <w:pict>
          <v:shapetype id="_x0000_t202" coordsize="21600,21600" o:spt="202" path="m,l,21600r21600,l21600,xe">
            <v:stroke joinstyle="miter"/>
            <v:path gradientshapeok="t" o:connecttype="rect"/>
          </v:shapetype>
          <v:shape id="_x0000_s1028" type="#_x0000_t202" style="position:absolute;margin-left:45.75pt;margin-top:306.9pt;width:258pt;height:28.5pt;z-index:251658240" fillcolor="#c0504d [3205]" strokecolor="#f2f2f2 [3041]" strokeweight="3pt">
            <v:shadow on="t" type="perspective" color="#622423 [1605]" opacity=".5" offset="1pt" offset2="-1pt"/>
            <v:textbox>
              <w:txbxContent>
                <w:p w:rsidR="00C05796" w:rsidRDefault="00C05796">
                  <w:r>
                    <w:t xml:space="preserve">Number in parentheses signifies the changes in </w:t>
                  </w:r>
                  <w:proofErr w:type="spellStart"/>
                  <w:r>
                    <w:t>logits</w:t>
                  </w:r>
                  <w:proofErr w:type="spellEnd"/>
                  <w:r>
                    <w:t>.</w:t>
                  </w:r>
                </w:p>
              </w:txbxContent>
            </v:textbox>
          </v:shape>
        </w:pict>
      </w:r>
      <w:r w:rsidR="00235A4D" w:rsidRPr="00235A4D">
        <w:rPr>
          <w:noProof/>
        </w:rPr>
        <w:drawing>
          <wp:inline distT="0" distB="0" distL="0" distR="0">
            <wp:extent cx="7943850" cy="44958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76FB5" w:rsidRDefault="00076FB5" w:rsidP="00CF7E81"/>
    <w:p w:rsidR="00F615F7" w:rsidRDefault="0015199A" w:rsidP="00CF7E81">
      <w:r>
        <w:t>The drops in 2013 are not totally unexpected</w:t>
      </w:r>
      <w:r w:rsidR="008E40B3">
        <w:t>.  The National Council of State Boards of Nursing</w:t>
      </w:r>
      <w:r>
        <w:t xml:space="preserve"> (NCSBN</w:t>
      </w:r>
      <w:r w:rsidR="008E40B3">
        <w:t>)</w:t>
      </w:r>
      <w:r>
        <w:t xml:space="preserve"> report</w:t>
      </w:r>
      <w:r w:rsidR="008E199B">
        <w:t>s</w:t>
      </w:r>
      <w:r>
        <w:t xml:space="preserve"> expected drops of 3 – 5% when the passing standard changes</w:t>
      </w:r>
      <w:r w:rsidR="001E3A47">
        <w:t>.  However, the decrease</w:t>
      </w:r>
      <w:r w:rsidR="008E40B3">
        <w:t xml:space="preserve"> in the pass rate this year is greater than in the past.  </w:t>
      </w:r>
      <w:r>
        <w:t xml:space="preserve">We know that while national trends are revealing, each school needs to examine its own results carefully.  </w:t>
      </w:r>
      <w:r w:rsidR="008E40B3">
        <w:t>T</w:t>
      </w:r>
      <w:r>
        <w:t xml:space="preserve">he </w:t>
      </w:r>
      <w:r w:rsidR="00000240">
        <w:t>NCLE</w:t>
      </w:r>
      <w:r w:rsidR="001E3A47">
        <w:t>X</w:t>
      </w:r>
      <w:r w:rsidR="008E40B3">
        <w:t>-RN</w:t>
      </w:r>
      <w:proofErr w:type="gramStart"/>
      <w:r w:rsidR="001E3A47">
        <w:t xml:space="preserve">® </w:t>
      </w:r>
      <w:r w:rsidR="008E40B3">
        <w:t xml:space="preserve"> tests</w:t>
      </w:r>
      <w:proofErr w:type="gramEnd"/>
      <w:r w:rsidR="008E40B3">
        <w:t xml:space="preserve"> critical thinking/clinical judgment.  </w:t>
      </w:r>
      <w:r w:rsidR="00000240">
        <w:t xml:space="preserve"> </w:t>
      </w:r>
      <w:r w:rsidR="008E40B3">
        <w:t>Kaplan Nursing</w:t>
      </w:r>
      <w:r>
        <w:t xml:space="preserve"> find</w:t>
      </w:r>
      <w:r w:rsidR="008E40B3">
        <w:t>s</w:t>
      </w:r>
      <w:r>
        <w:t xml:space="preserve"> that students who focus solely on content when they prepare for the test may be at a significant disadvantage</w:t>
      </w:r>
      <w:r w:rsidR="00737141">
        <w:t xml:space="preserve"> and at risk for not passing</w:t>
      </w:r>
      <w:r>
        <w:t>.</w:t>
      </w:r>
    </w:p>
    <w:p w:rsidR="004C25A3" w:rsidRDefault="004C25A3">
      <w:r>
        <w:t>Kaplan is presenting two excellent, free online events to help students and faculty navigate</w:t>
      </w:r>
      <w:r w:rsidR="00B12C25">
        <w:t xml:space="preserve"> through the</w:t>
      </w:r>
      <w:r w:rsidR="001E3A47">
        <w:t xml:space="preserve"> </w:t>
      </w:r>
      <w:r w:rsidR="004F7128">
        <w:t>increased passing standard</w:t>
      </w:r>
      <w:r w:rsidR="00357DEC">
        <w:t>.  Please share the following with your colleagues and students</w:t>
      </w:r>
      <w:r w:rsidR="00B12C25">
        <w:t>:</w:t>
      </w:r>
    </w:p>
    <w:p w:rsidR="00B12C25" w:rsidRPr="00B12C25" w:rsidRDefault="00357DEC">
      <w:pPr>
        <w:rPr>
          <w:b/>
          <w:u w:val="single"/>
        </w:rPr>
      </w:pPr>
      <w:r>
        <w:rPr>
          <w:b/>
          <w:u w:val="single"/>
        </w:rPr>
        <w:lastRenderedPageBreak/>
        <w:t>For Facult</w:t>
      </w:r>
      <w:r w:rsidR="00B12C25" w:rsidRPr="00B12C25">
        <w:rPr>
          <w:b/>
          <w:u w:val="single"/>
        </w:rPr>
        <w:t>y:</w:t>
      </w:r>
    </w:p>
    <w:p w:rsidR="00A720BE" w:rsidRPr="00A720BE" w:rsidRDefault="00A720BE" w:rsidP="00A720BE">
      <w:pPr>
        <w:autoSpaceDE w:val="0"/>
        <w:autoSpaceDN w:val="0"/>
        <w:adjustRightInd w:val="0"/>
        <w:spacing w:after="0" w:line="240" w:lineRule="auto"/>
        <w:rPr>
          <w:rFonts w:cs="MetaOT-Norm"/>
        </w:rPr>
      </w:pPr>
      <w:r w:rsidRPr="00A720BE">
        <w:rPr>
          <w:rFonts w:cs="MetaOT-Norm"/>
        </w:rPr>
        <w:t>Since the passing standard increased in April 2013, a greater percentage of students</w:t>
      </w:r>
      <w:r w:rsidR="00B12C25">
        <w:rPr>
          <w:rFonts w:cs="MetaOT-Norm"/>
        </w:rPr>
        <w:t xml:space="preserve"> </w:t>
      </w:r>
      <w:r w:rsidRPr="00A720BE">
        <w:rPr>
          <w:rFonts w:cs="MetaOT-Norm"/>
        </w:rPr>
        <w:t>are failing the NCLEX-RN. In fact, between July an</w:t>
      </w:r>
      <w:r w:rsidR="00357DEC">
        <w:rPr>
          <w:rFonts w:cs="MetaOT-Norm"/>
        </w:rPr>
        <w:t>d September 2013, one in every</w:t>
      </w:r>
      <w:r w:rsidR="00B12C25">
        <w:rPr>
          <w:rFonts w:cs="MetaOT-Norm"/>
        </w:rPr>
        <w:t xml:space="preserve"> fi</w:t>
      </w:r>
      <w:r w:rsidRPr="00A720BE">
        <w:rPr>
          <w:rFonts w:cs="MetaOT-Norm"/>
        </w:rPr>
        <w:t>ve</w:t>
      </w:r>
      <w:r w:rsidR="00B12C25">
        <w:rPr>
          <w:rFonts w:cs="MetaOT-Norm"/>
        </w:rPr>
        <w:t xml:space="preserve"> </w:t>
      </w:r>
      <w:r w:rsidRPr="00A720BE">
        <w:rPr>
          <w:rFonts w:cs="MetaOT-Norm"/>
        </w:rPr>
        <w:t>RN students failed the test.*</w:t>
      </w:r>
    </w:p>
    <w:p w:rsidR="00A720BE" w:rsidRDefault="00A720BE" w:rsidP="00B12C25">
      <w:pPr>
        <w:autoSpaceDE w:val="0"/>
        <w:autoSpaceDN w:val="0"/>
        <w:adjustRightInd w:val="0"/>
        <w:spacing w:after="0" w:line="240" w:lineRule="auto"/>
        <w:rPr>
          <w:rFonts w:cs="MetaOT-Bold"/>
          <w:b/>
          <w:bCs/>
        </w:rPr>
      </w:pPr>
      <w:r w:rsidRPr="00A720BE">
        <w:rPr>
          <w:rFonts w:cs="MetaOT-Bold"/>
          <w:b/>
          <w:bCs/>
        </w:rPr>
        <w:t>What does this mean for you and your students? How can you help</w:t>
      </w:r>
      <w:r w:rsidR="00B12C25">
        <w:rPr>
          <w:rFonts w:cs="MetaOT-Bold"/>
          <w:b/>
          <w:bCs/>
        </w:rPr>
        <w:t xml:space="preserve"> </w:t>
      </w:r>
      <w:r w:rsidRPr="00A720BE">
        <w:rPr>
          <w:rFonts w:cs="MetaOT-Bold"/>
          <w:b/>
          <w:bCs/>
        </w:rPr>
        <w:t>them master the new test plan and harder passing standard?</w:t>
      </w:r>
    </w:p>
    <w:p w:rsidR="00B12C25" w:rsidRPr="00A720BE" w:rsidRDefault="00B12C25" w:rsidP="00B12C25">
      <w:pPr>
        <w:autoSpaceDE w:val="0"/>
        <w:autoSpaceDN w:val="0"/>
        <w:adjustRightInd w:val="0"/>
        <w:spacing w:after="0" w:line="240" w:lineRule="auto"/>
        <w:rPr>
          <w:rFonts w:cs="MetaOT-Bold"/>
          <w:b/>
          <w:bCs/>
        </w:rPr>
      </w:pPr>
    </w:p>
    <w:p w:rsidR="00A720BE" w:rsidRDefault="00A720BE" w:rsidP="00A720BE">
      <w:pPr>
        <w:autoSpaceDE w:val="0"/>
        <w:autoSpaceDN w:val="0"/>
        <w:adjustRightInd w:val="0"/>
        <w:spacing w:after="0" w:line="240" w:lineRule="auto"/>
        <w:rPr>
          <w:rFonts w:cs="MetaOT-Norm"/>
        </w:rPr>
      </w:pPr>
      <w:r w:rsidRPr="00A720BE">
        <w:rPr>
          <w:rFonts w:cs="MetaOT-Norm"/>
        </w:rPr>
        <w:t>Barbara Irwin, MSN, RN and Executive Director of Kaplan Nursing, will discuss</w:t>
      </w:r>
      <w:r w:rsidR="00B12C25">
        <w:rPr>
          <w:rFonts w:cs="MetaOT-Norm"/>
        </w:rPr>
        <w:t xml:space="preserve"> </w:t>
      </w:r>
      <w:r w:rsidRPr="00A720BE">
        <w:rPr>
          <w:rFonts w:cs="MetaOT-Norm"/>
        </w:rPr>
        <w:t>these crucial points and other essential details in our upcoming online event,</w:t>
      </w:r>
      <w:r w:rsidR="00B12C25">
        <w:rPr>
          <w:rFonts w:cs="MetaOT-Norm"/>
        </w:rPr>
        <w:t xml:space="preserve"> </w:t>
      </w:r>
      <w:r w:rsidRPr="00A720BE">
        <w:rPr>
          <w:rFonts w:cs="MetaOT-Norm"/>
        </w:rPr>
        <w:t>free for nursing faculty.</w:t>
      </w:r>
    </w:p>
    <w:p w:rsidR="00357DEC" w:rsidRPr="00A720BE" w:rsidRDefault="00357DEC" w:rsidP="00A720BE">
      <w:pPr>
        <w:autoSpaceDE w:val="0"/>
        <w:autoSpaceDN w:val="0"/>
        <w:adjustRightInd w:val="0"/>
        <w:spacing w:after="0" w:line="240" w:lineRule="auto"/>
        <w:rPr>
          <w:rFonts w:cs="MetaOT-Norm"/>
        </w:rPr>
      </w:pPr>
    </w:p>
    <w:p w:rsidR="00A720BE" w:rsidRDefault="00A720BE" w:rsidP="00A720BE">
      <w:pPr>
        <w:autoSpaceDE w:val="0"/>
        <w:autoSpaceDN w:val="0"/>
        <w:adjustRightInd w:val="0"/>
        <w:spacing w:after="0" w:line="240" w:lineRule="auto"/>
        <w:rPr>
          <w:rFonts w:cs="MetaOT-Norm"/>
        </w:rPr>
      </w:pPr>
      <w:r w:rsidRPr="00A720BE">
        <w:rPr>
          <w:rFonts w:cs="MetaOT-Norm"/>
        </w:rPr>
        <w:t xml:space="preserve">This workshop will be held in our innovative Classroom Anywhere environment, which means </w:t>
      </w:r>
      <w:proofErr w:type="gramStart"/>
      <w:r w:rsidRPr="00A720BE">
        <w:rPr>
          <w:rFonts w:cs="MetaOT-Norm"/>
        </w:rPr>
        <w:t>you</w:t>
      </w:r>
      <w:proofErr w:type="gramEnd"/>
      <w:r w:rsidR="00391110">
        <w:rPr>
          <w:rFonts w:cs="MetaOT-Norm"/>
        </w:rPr>
        <w:t xml:space="preserve"> </w:t>
      </w:r>
      <w:r w:rsidRPr="00A720BE">
        <w:rPr>
          <w:rFonts w:cs="MetaOT-Norm"/>
        </w:rPr>
        <w:t>can participate live from anywhere you have an internet connection. You will receive an email with</w:t>
      </w:r>
      <w:r w:rsidR="00391110">
        <w:rPr>
          <w:rFonts w:cs="MetaOT-Norm"/>
        </w:rPr>
        <w:t xml:space="preserve"> </w:t>
      </w:r>
      <w:r w:rsidRPr="00A720BE">
        <w:rPr>
          <w:rFonts w:cs="MetaOT-Norm"/>
        </w:rPr>
        <w:t>access to the website prior to the date of the event.</w:t>
      </w:r>
    </w:p>
    <w:p w:rsidR="00B12C25" w:rsidRPr="00A720BE" w:rsidRDefault="00B12C25" w:rsidP="00A720BE">
      <w:pPr>
        <w:autoSpaceDE w:val="0"/>
        <w:autoSpaceDN w:val="0"/>
        <w:adjustRightInd w:val="0"/>
        <w:spacing w:after="0" w:line="240" w:lineRule="auto"/>
        <w:rPr>
          <w:rFonts w:cs="MetaOT-Norm"/>
        </w:rPr>
      </w:pPr>
    </w:p>
    <w:p w:rsidR="00A720BE" w:rsidRPr="00A720BE" w:rsidRDefault="00A720BE" w:rsidP="00A720BE">
      <w:pPr>
        <w:autoSpaceDE w:val="0"/>
        <w:autoSpaceDN w:val="0"/>
        <w:adjustRightInd w:val="0"/>
        <w:spacing w:after="0" w:line="240" w:lineRule="auto"/>
        <w:rPr>
          <w:rFonts w:cs="MetaOT-Bold"/>
          <w:b/>
          <w:bCs/>
        </w:rPr>
      </w:pPr>
      <w:r w:rsidRPr="00A720BE">
        <w:rPr>
          <w:rFonts w:cs="MetaOT-Bold"/>
          <w:b/>
          <w:bCs/>
        </w:rPr>
        <w:t>NCLEX-RN®: Behind the Passing Rate Decline</w:t>
      </w:r>
    </w:p>
    <w:p w:rsidR="00A720BE" w:rsidRPr="00A720BE" w:rsidRDefault="00A720BE" w:rsidP="00A720BE">
      <w:pPr>
        <w:rPr>
          <w:rFonts w:cs="MetaOT-Bold"/>
          <w:b/>
          <w:bCs/>
        </w:rPr>
      </w:pPr>
      <w:r w:rsidRPr="00A720BE">
        <w:rPr>
          <w:rFonts w:cs="MetaOT-Bold"/>
          <w:b/>
          <w:bCs/>
        </w:rPr>
        <w:t>Wednesday, February 19 2014 at 7:00 PM ET</w:t>
      </w:r>
    </w:p>
    <w:p w:rsidR="00A720BE" w:rsidRDefault="00A720BE" w:rsidP="00A720BE">
      <w:pPr>
        <w:rPr>
          <w:rFonts w:cs="MetaOT-Bold"/>
          <w:b/>
          <w:bCs/>
        </w:rPr>
      </w:pPr>
      <w:r w:rsidRPr="00A720BE">
        <w:rPr>
          <w:rFonts w:cs="MetaOT-Bold"/>
          <w:b/>
          <w:bCs/>
        </w:rPr>
        <w:t xml:space="preserve">Go to </w:t>
      </w:r>
      <w:hyperlink r:id="rId6" w:history="1">
        <w:r w:rsidRPr="00B12C25">
          <w:rPr>
            <w:rStyle w:val="Hyperlink"/>
            <w:rFonts w:cs="MetaOT-Bold"/>
            <w:b/>
            <w:bCs/>
          </w:rPr>
          <w:t>http://bit.ly/KzPfl4</w:t>
        </w:r>
      </w:hyperlink>
      <w:r w:rsidRPr="00A720BE">
        <w:rPr>
          <w:rFonts w:cs="MetaOT-Bold"/>
          <w:b/>
          <w:bCs/>
        </w:rPr>
        <w:t xml:space="preserve"> to register!</w:t>
      </w:r>
    </w:p>
    <w:p w:rsidR="00357DEC" w:rsidRPr="00A720BE" w:rsidRDefault="00357DEC" w:rsidP="00A720BE"/>
    <w:p w:rsidR="00A720BE" w:rsidRPr="00B12C25" w:rsidRDefault="00A720BE">
      <w:pPr>
        <w:rPr>
          <w:b/>
          <w:u w:val="single"/>
        </w:rPr>
      </w:pPr>
      <w:r w:rsidRPr="00B12C25">
        <w:rPr>
          <w:b/>
          <w:u w:val="single"/>
        </w:rPr>
        <w:t>For students:</w:t>
      </w:r>
    </w:p>
    <w:p w:rsidR="00A720BE" w:rsidRDefault="00A720BE" w:rsidP="00B12C25">
      <w:pPr>
        <w:autoSpaceDE w:val="0"/>
        <w:autoSpaceDN w:val="0"/>
        <w:adjustRightInd w:val="0"/>
        <w:spacing w:after="0" w:line="240" w:lineRule="auto"/>
        <w:rPr>
          <w:rFonts w:cs="MetaOT-Bold"/>
          <w:b/>
          <w:bCs/>
        </w:rPr>
      </w:pPr>
      <w:r w:rsidRPr="00A720BE">
        <w:rPr>
          <w:rFonts w:cs="MetaOT-Bold"/>
          <w:b/>
          <w:bCs/>
        </w:rPr>
        <w:t>Attend our free live online event to learn more about how you can</w:t>
      </w:r>
      <w:r w:rsidR="00B12C25">
        <w:rPr>
          <w:rFonts w:cs="MetaOT-Bold"/>
          <w:b/>
          <w:bCs/>
        </w:rPr>
        <w:t xml:space="preserve"> </w:t>
      </w:r>
      <w:r w:rsidRPr="00A720BE">
        <w:rPr>
          <w:rFonts w:cs="MetaOT-Bold"/>
          <w:b/>
          <w:bCs/>
        </w:rPr>
        <w:t>master the new test plan and passing standard.</w:t>
      </w:r>
    </w:p>
    <w:p w:rsidR="00B12C25" w:rsidRPr="00A720BE" w:rsidRDefault="00B12C25" w:rsidP="00B12C25">
      <w:pPr>
        <w:autoSpaceDE w:val="0"/>
        <w:autoSpaceDN w:val="0"/>
        <w:adjustRightInd w:val="0"/>
        <w:spacing w:after="0" w:line="240" w:lineRule="auto"/>
        <w:rPr>
          <w:rFonts w:cs="MetaOT-Bold"/>
          <w:b/>
          <w:bCs/>
        </w:rPr>
      </w:pPr>
    </w:p>
    <w:p w:rsidR="00A720BE" w:rsidRPr="00A720BE" w:rsidRDefault="00A720BE" w:rsidP="00A720BE">
      <w:pPr>
        <w:autoSpaceDE w:val="0"/>
        <w:autoSpaceDN w:val="0"/>
        <w:adjustRightInd w:val="0"/>
        <w:spacing w:after="0" w:line="240" w:lineRule="auto"/>
        <w:rPr>
          <w:rFonts w:cs="MetaOT-Bold"/>
          <w:b/>
          <w:bCs/>
        </w:rPr>
      </w:pPr>
      <w:r w:rsidRPr="00A720BE">
        <w:rPr>
          <w:rFonts w:cs="MetaOT-Bold"/>
          <w:b/>
          <w:bCs/>
        </w:rPr>
        <w:t>Tuesday, February 4th at 7:00pm ET</w:t>
      </w:r>
    </w:p>
    <w:p w:rsidR="00A720BE" w:rsidRDefault="00A720BE" w:rsidP="00A720BE">
      <w:r w:rsidRPr="00A720BE">
        <w:rPr>
          <w:rFonts w:cs="MetaOT-Bold"/>
          <w:b/>
          <w:bCs/>
        </w:rPr>
        <w:t xml:space="preserve">Register: </w:t>
      </w:r>
      <w:hyperlink r:id="rId7" w:history="1">
        <w:r w:rsidRPr="00B12C25">
          <w:rPr>
            <w:rStyle w:val="Hyperlink"/>
            <w:rFonts w:cs="MetaOT-Bold"/>
            <w:b/>
            <w:bCs/>
            <w:color w:val="0000FF"/>
          </w:rPr>
          <w:t>http://www.kaptest.com/class/NKUA14028</w:t>
        </w:r>
      </w:hyperlink>
    </w:p>
    <w:p w:rsidR="00391110" w:rsidRPr="00B12C25" w:rsidRDefault="00391110" w:rsidP="00A720BE">
      <w:pPr>
        <w:rPr>
          <w:rFonts w:cs="MetaOT-Bold"/>
          <w:b/>
          <w:bCs/>
          <w:color w:val="0000FF"/>
        </w:rPr>
      </w:pPr>
    </w:p>
    <w:p w:rsidR="00D76180" w:rsidRDefault="00D76180" w:rsidP="00A720BE">
      <w:r w:rsidRPr="00A720BE">
        <w:t>Pass rates can be a sensitive topic</w:t>
      </w:r>
      <w:r>
        <w:t xml:space="preserve">, but as you start to analyze your school’s performance we’d love to hear about your successes and lessons learned.  The national nursing community can benefit from your experiences to make sure the next generation of test takers is prepared for the new education challenges! </w:t>
      </w:r>
    </w:p>
    <w:p w:rsidR="000955EC" w:rsidRPr="00B50E66" w:rsidRDefault="000955EC">
      <w:pPr>
        <w:rPr>
          <w:sz w:val="18"/>
          <w:szCs w:val="18"/>
        </w:rPr>
      </w:pPr>
    </w:p>
    <w:p w:rsidR="000955EC" w:rsidRPr="00B50E66" w:rsidRDefault="00B12C25">
      <w:pPr>
        <w:rPr>
          <w:rFonts w:ascii="MetaOT-Norm" w:hAnsi="MetaOT-Norm" w:cs="MetaOT-Norm"/>
          <w:color w:val="333333"/>
          <w:sz w:val="18"/>
          <w:szCs w:val="18"/>
        </w:rPr>
      </w:pPr>
      <w:r w:rsidRPr="00B50E66">
        <w:rPr>
          <w:rFonts w:ascii="MetaOT-Norm" w:hAnsi="MetaOT-Norm" w:cs="MetaOT-Norm"/>
          <w:color w:val="333333"/>
          <w:sz w:val="18"/>
          <w:szCs w:val="18"/>
        </w:rPr>
        <w:t>NCLEX-RN® is a registered trademark of the National Council of State Boards of Nursing, Inc, which does not endorse and is not a</w:t>
      </w:r>
      <w:r w:rsidR="008E199B" w:rsidRPr="00B50E66">
        <w:rPr>
          <w:rFonts w:ascii="MetaOT-Norm" w:hAnsi="MetaOT-Norm" w:cs="MetaOT-Norm"/>
          <w:color w:val="333333"/>
          <w:sz w:val="18"/>
          <w:szCs w:val="18"/>
        </w:rPr>
        <w:t>ffi</w:t>
      </w:r>
      <w:r w:rsidRPr="00B50E66">
        <w:rPr>
          <w:rFonts w:ascii="MetaOT-Norm" w:hAnsi="MetaOT-Norm" w:cs="MetaOT-Norm"/>
          <w:color w:val="333333"/>
          <w:sz w:val="18"/>
          <w:szCs w:val="18"/>
        </w:rPr>
        <w:t>liated with Kaplan.</w:t>
      </w:r>
    </w:p>
    <w:p w:rsidR="00B12C25" w:rsidRPr="00B50E66" w:rsidRDefault="00B12C25">
      <w:pPr>
        <w:rPr>
          <w:sz w:val="18"/>
          <w:szCs w:val="18"/>
        </w:rPr>
      </w:pPr>
      <w:r w:rsidRPr="00B50E66">
        <w:rPr>
          <w:rFonts w:ascii="MetaOT-Norm" w:hAnsi="MetaOT-Norm" w:cs="MetaOT-Norm"/>
          <w:color w:val="333333"/>
          <w:sz w:val="18"/>
          <w:szCs w:val="18"/>
        </w:rPr>
        <w:t>*National Council of State Boards of Nursing, Exam Statistics and Publications, https://www.ncsbn.org/1232.htm</w:t>
      </w:r>
    </w:p>
    <w:sectPr w:rsidR="00B12C25" w:rsidRPr="00B50E66" w:rsidSect="00F06D18">
      <w:pgSz w:w="15840" w:h="12240" w:orient="landscape"/>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etaOT-Norm">
    <w:panose1 w:val="00000000000000000000"/>
    <w:charset w:val="00"/>
    <w:family w:val="swiss"/>
    <w:notTrueType/>
    <w:pitch w:val="default"/>
    <w:sig w:usb0="00000003" w:usb1="00000000" w:usb2="00000000" w:usb3="00000000" w:csb0="00000001" w:csb1="00000000"/>
  </w:font>
  <w:font w:name="MetaO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F26C8"/>
    <w:multiLevelType w:val="hybridMultilevel"/>
    <w:tmpl w:val="1640D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730D53"/>
    <w:multiLevelType w:val="hybridMultilevel"/>
    <w:tmpl w:val="BD1A3782"/>
    <w:lvl w:ilvl="0" w:tplc="F7F633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05E3"/>
    <w:rsid w:val="00000240"/>
    <w:rsid w:val="00007398"/>
    <w:rsid w:val="00076FB5"/>
    <w:rsid w:val="000955EC"/>
    <w:rsid w:val="000B129D"/>
    <w:rsid w:val="000E23B2"/>
    <w:rsid w:val="00103687"/>
    <w:rsid w:val="0015199A"/>
    <w:rsid w:val="0016416E"/>
    <w:rsid w:val="00170200"/>
    <w:rsid w:val="001A3240"/>
    <w:rsid w:val="001E3A47"/>
    <w:rsid w:val="00235A4D"/>
    <w:rsid w:val="00250FF6"/>
    <w:rsid w:val="00291033"/>
    <w:rsid w:val="00292C69"/>
    <w:rsid w:val="00293E69"/>
    <w:rsid w:val="002F7E09"/>
    <w:rsid w:val="00347D6A"/>
    <w:rsid w:val="00357DEC"/>
    <w:rsid w:val="00391110"/>
    <w:rsid w:val="003A719D"/>
    <w:rsid w:val="003B669B"/>
    <w:rsid w:val="004A0401"/>
    <w:rsid w:val="004C25A3"/>
    <w:rsid w:val="004D3F85"/>
    <w:rsid w:val="004F7128"/>
    <w:rsid w:val="0051035D"/>
    <w:rsid w:val="005F6DCF"/>
    <w:rsid w:val="006D664F"/>
    <w:rsid w:val="00733790"/>
    <w:rsid w:val="00737141"/>
    <w:rsid w:val="008105E3"/>
    <w:rsid w:val="008459B3"/>
    <w:rsid w:val="0088235C"/>
    <w:rsid w:val="008A170E"/>
    <w:rsid w:val="008E199B"/>
    <w:rsid w:val="008E40B3"/>
    <w:rsid w:val="008F19C5"/>
    <w:rsid w:val="00905AE2"/>
    <w:rsid w:val="00964BA3"/>
    <w:rsid w:val="009B1C62"/>
    <w:rsid w:val="009F70DE"/>
    <w:rsid w:val="00A37A05"/>
    <w:rsid w:val="00A40C51"/>
    <w:rsid w:val="00A720BE"/>
    <w:rsid w:val="00AD5400"/>
    <w:rsid w:val="00AE0643"/>
    <w:rsid w:val="00B12C25"/>
    <w:rsid w:val="00B50E66"/>
    <w:rsid w:val="00BC6143"/>
    <w:rsid w:val="00BE1807"/>
    <w:rsid w:val="00C03C75"/>
    <w:rsid w:val="00C05796"/>
    <w:rsid w:val="00C73F83"/>
    <w:rsid w:val="00CF7E81"/>
    <w:rsid w:val="00D76180"/>
    <w:rsid w:val="00D90DED"/>
    <w:rsid w:val="00DB0E74"/>
    <w:rsid w:val="00DE3067"/>
    <w:rsid w:val="00EB682A"/>
    <w:rsid w:val="00EC435B"/>
    <w:rsid w:val="00EC445E"/>
    <w:rsid w:val="00EE5F60"/>
    <w:rsid w:val="00EF63BB"/>
    <w:rsid w:val="00EF761F"/>
    <w:rsid w:val="00F02F08"/>
    <w:rsid w:val="00F041DB"/>
    <w:rsid w:val="00F06D18"/>
    <w:rsid w:val="00F61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143"/>
    <w:rPr>
      <w:color w:val="0000FF" w:themeColor="hyperlink"/>
      <w:u w:val="single"/>
    </w:rPr>
  </w:style>
  <w:style w:type="paragraph" w:styleId="BalloonText">
    <w:name w:val="Balloon Text"/>
    <w:basedOn w:val="Normal"/>
    <w:link w:val="BalloonTextChar"/>
    <w:uiPriority w:val="99"/>
    <w:semiHidden/>
    <w:unhideWhenUsed/>
    <w:rsid w:val="008F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9C5"/>
    <w:rPr>
      <w:rFonts w:ascii="Tahoma" w:hAnsi="Tahoma" w:cs="Tahoma"/>
      <w:sz w:val="16"/>
      <w:szCs w:val="16"/>
    </w:rPr>
  </w:style>
  <w:style w:type="paragraph" w:styleId="ListParagraph">
    <w:name w:val="List Paragraph"/>
    <w:basedOn w:val="Normal"/>
    <w:uiPriority w:val="34"/>
    <w:qFormat/>
    <w:rsid w:val="00170200"/>
    <w:pPr>
      <w:ind w:left="720"/>
      <w:contextualSpacing/>
    </w:pPr>
  </w:style>
  <w:style w:type="character" w:styleId="CommentReference">
    <w:name w:val="annotation reference"/>
    <w:basedOn w:val="DefaultParagraphFont"/>
    <w:uiPriority w:val="99"/>
    <w:semiHidden/>
    <w:unhideWhenUsed/>
    <w:rsid w:val="0088235C"/>
    <w:rPr>
      <w:sz w:val="16"/>
      <w:szCs w:val="16"/>
    </w:rPr>
  </w:style>
  <w:style w:type="paragraph" w:styleId="CommentText">
    <w:name w:val="annotation text"/>
    <w:basedOn w:val="Normal"/>
    <w:link w:val="CommentTextChar"/>
    <w:uiPriority w:val="99"/>
    <w:semiHidden/>
    <w:unhideWhenUsed/>
    <w:rsid w:val="0088235C"/>
    <w:pPr>
      <w:spacing w:line="240" w:lineRule="auto"/>
    </w:pPr>
    <w:rPr>
      <w:sz w:val="20"/>
      <w:szCs w:val="20"/>
    </w:rPr>
  </w:style>
  <w:style w:type="character" w:customStyle="1" w:styleId="CommentTextChar">
    <w:name w:val="Comment Text Char"/>
    <w:basedOn w:val="DefaultParagraphFont"/>
    <w:link w:val="CommentText"/>
    <w:uiPriority w:val="99"/>
    <w:semiHidden/>
    <w:rsid w:val="0088235C"/>
    <w:rPr>
      <w:sz w:val="20"/>
      <w:szCs w:val="20"/>
    </w:rPr>
  </w:style>
  <w:style w:type="paragraph" w:styleId="CommentSubject">
    <w:name w:val="annotation subject"/>
    <w:basedOn w:val="CommentText"/>
    <w:next w:val="CommentText"/>
    <w:link w:val="CommentSubjectChar"/>
    <w:uiPriority w:val="99"/>
    <w:semiHidden/>
    <w:unhideWhenUsed/>
    <w:rsid w:val="0088235C"/>
    <w:rPr>
      <w:b/>
      <w:bCs/>
    </w:rPr>
  </w:style>
  <w:style w:type="character" w:customStyle="1" w:styleId="CommentSubjectChar">
    <w:name w:val="Comment Subject Char"/>
    <w:basedOn w:val="CommentTextChar"/>
    <w:link w:val="CommentSubject"/>
    <w:uiPriority w:val="99"/>
    <w:semiHidden/>
    <w:rsid w:val="0088235C"/>
    <w:rPr>
      <w:b/>
      <w:bCs/>
    </w:rPr>
  </w:style>
</w:styles>
</file>

<file path=word/webSettings.xml><?xml version="1.0" encoding="utf-8"?>
<w:webSettings xmlns:r="http://schemas.openxmlformats.org/officeDocument/2006/relationships" xmlns:w="http://schemas.openxmlformats.org/wordprocessingml/2006/main">
  <w:divs>
    <w:div w:id="552077954">
      <w:bodyDiv w:val="1"/>
      <w:marLeft w:val="0"/>
      <w:marRight w:val="0"/>
      <w:marTop w:val="0"/>
      <w:marBottom w:val="0"/>
      <w:divBdr>
        <w:top w:val="none" w:sz="0" w:space="0" w:color="auto"/>
        <w:left w:val="none" w:sz="0" w:space="0" w:color="auto"/>
        <w:bottom w:val="none" w:sz="0" w:space="0" w:color="auto"/>
        <w:right w:val="none" w:sz="0" w:space="0" w:color="auto"/>
      </w:divBdr>
    </w:div>
    <w:div w:id="19188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ptest.com/class/NKUA14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KzPfl4"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awn%20Horvath\Desktop\2003%20-%202013%20Pass%20Rates%20for%20NCL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1800" b="1" i="0" baseline="0"/>
              <a:t>NCLEX-RN</a:t>
            </a:r>
            <a:r>
              <a:rPr lang="en-US" sz="1800" b="1" i="0" baseline="30000">
                <a:latin typeface="Arial"/>
                <a:cs typeface="Arial"/>
              </a:rPr>
              <a:t>®</a:t>
            </a:r>
            <a:r>
              <a:rPr lang="en-US" sz="1800" b="1" i="0" baseline="0"/>
              <a:t> Pass Rates:  2003 - 2013 </a:t>
            </a:r>
            <a:r>
              <a:rPr lang="en-US" sz="1000" b="1" i="0" baseline="0"/>
              <a:t>(compiled from NCSBN Annual Pass Rate Reports https://www.ncsbn.org/1232.htm)</a:t>
            </a:r>
          </a:p>
        </c:rich>
      </c:tx>
      <c:layout>
        <c:manualLayout>
          <c:xMode val="edge"/>
          <c:yMode val="edge"/>
          <c:x val="8.5482352871417713E-2"/>
          <c:y val="8.568443051201706E-2"/>
        </c:manualLayout>
      </c:layout>
      <c:overlay val="1"/>
      <c:spPr>
        <a:ln>
          <a:solidFill>
            <a:schemeClr val="accent1"/>
          </a:solidFill>
        </a:ln>
      </c:spPr>
    </c:title>
    <c:view3D>
      <c:rotX val="0"/>
      <c:depthPercent val="100"/>
      <c:rAngAx val="1"/>
    </c:view3D>
    <c:plotArea>
      <c:layout>
        <c:manualLayout>
          <c:layoutTarget val="inner"/>
          <c:xMode val="edge"/>
          <c:yMode val="edge"/>
          <c:x val="5.3434754394320806E-2"/>
          <c:y val="2.2988505747126475E-2"/>
          <c:w val="0.8371033013870095"/>
          <c:h val="0.82294950591991045"/>
        </c:manualLayout>
      </c:layout>
      <c:bar3DChart>
        <c:barDir val="col"/>
        <c:grouping val="standard"/>
        <c:ser>
          <c:idx val="0"/>
          <c:order val="0"/>
          <c:tx>
            <c:strRef>
              <c:f>Sheet1!$A$2</c:f>
              <c:strCache>
                <c:ptCount val="1"/>
                <c:pt idx="0">
                  <c:v>1st Time US Educated</c:v>
                </c:pt>
              </c:strCache>
            </c:strRef>
          </c:tx>
          <c:dLbls>
            <c:delete val="1"/>
          </c:dLbls>
          <c:cat>
            <c:strRef>
              <c:f>Sheet1!$B$1:$AF$1</c:f>
              <c:strCache>
                <c:ptCount val="31"/>
                <c:pt idx="0">
                  <c:v>2003-Q2 (-0.35)</c:v>
                </c:pt>
                <c:pt idx="1">
                  <c:v>2003 Q3</c:v>
                </c:pt>
                <c:pt idx="2">
                  <c:v>2003 Q4</c:v>
                </c:pt>
                <c:pt idx="4">
                  <c:v>2004 Q2 (-0.28)</c:v>
                </c:pt>
                <c:pt idx="5">
                  <c:v>2004 Q3</c:v>
                </c:pt>
                <c:pt idx="6">
                  <c:v>2004 Q4</c:v>
                </c:pt>
                <c:pt idx="8">
                  <c:v>2006 Q2</c:v>
                </c:pt>
                <c:pt idx="9">
                  <c:v>2006 Q3</c:v>
                </c:pt>
                <c:pt idx="10">
                  <c:v>2006 Q4</c:v>
                </c:pt>
                <c:pt idx="12">
                  <c:v>2007 Q2 (-0.21)</c:v>
                </c:pt>
                <c:pt idx="13">
                  <c:v>2007 Q3</c:v>
                </c:pt>
                <c:pt idx="14">
                  <c:v>2007 Q4</c:v>
                </c:pt>
                <c:pt idx="16">
                  <c:v>2009 Q2</c:v>
                </c:pt>
                <c:pt idx="17">
                  <c:v>2009 Q3</c:v>
                </c:pt>
                <c:pt idx="18">
                  <c:v>2009 Q4</c:v>
                </c:pt>
                <c:pt idx="20">
                  <c:v>2010 Q2 (-0.16)</c:v>
                </c:pt>
                <c:pt idx="21">
                  <c:v>2010 Q3</c:v>
                </c:pt>
                <c:pt idx="22">
                  <c:v>2010 Q4</c:v>
                </c:pt>
                <c:pt idx="24">
                  <c:v>2012 Q2</c:v>
                </c:pt>
                <c:pt idx="25">
                  <c:v>2012 Q3</c:v>
                </c:pt>
                <c:pt idx="26">
                  <c:v>2012 Q4</c:v>
                </c:pt>
                <c:pt idx="28">
                  <c:v>2013 Q2 (0.00)</c:v>
                </c:pt>
                <c:pt idx="29">
                  <c:v>2013 Q3</c:v>
                </c:pt>
                <c:pt idx="30">
                  <c:v>2013 Q4</c:v>
                </c:pt>
              </c:strCache>
            </c:strRef>
          </c:cat>
          <c:val>
            <c:numRef>
              <c:f>Sheet1!$B$2:$AF$2</c:f>
              <c:numCache>
                <c:formatCode>0.0%</c:formatCode>
                <c:ptCount val="31"/>
                <c:pt idx="0">
                  <c:v>0.90100000000000002</c:v>
                </c:pt>
                <c:pt idx="1">
                  <c:v>0.86500000000000121</c:v>
                </c:pt>
                <c:pt idx="2">
                  <c:v>0.78200000000000003</c:v>
                </c:pt>
                <c:pt idx="4">
                  <c:v>0.88500000000000068</c:v>
                </c:pt>
                <c:pt idx="5">
                  <c:v>0.83900000000000063</c:v>
                </c:pt>
                <c:pt idx="6">
                  <c:v>0.78100000000000003</c:v>
                </c:pt>
                <c:pt idx="8">
                  <c:v>0.90500000000000003</c:v>
                </c:pt>
                <c:pt idx="9">
                  <c:v>0.87900000000000134</c:v>
                </c:pt>
                <c:pt idx="10">
                  <c:v>0.81499999999999995</c:v>
                </c:pt>
                <c:pt idx="12">
                  <c:v>0.87600000000000133</c:v>
                </c:pt>
                <c:pt idx="13">
                  <c:v>0.83500000000000063</c:v>
                </c:pt>
                <c:pt idx="14">
                  <c:v>0.78600000000000003</c:v>
                </c:pt>
                <c:pt idx="16" formatCode="0.00%">
                  <c:v>0.90790000000000004</c:v>
                </c:pt>
                <c:pt idx="17" formatCode="0.00%">
                  <c:v>0.88200000000000067</c:v>
                </c:pt>
                <c:pt idx="18" formatCode="0.00%">
                  <c:v>0.83290000000000064</c:v>
                </c:pt>
                <c:pt idx="20" formatCode="0.00%">
                  <c:v>0.90280000000000005</c:v>
                </c:pt>
                <c:pt idx="21" formatCode="0.00%">
                  <c:v>0.84880000000000122</c:v>
                </c:pt>
                <c:pt idx="22" formatCode="0.00%">
                  <c:v>0.81740000000000002</c:v>
                </c:pt>
                <c:pt idx="24" formatCode="0.00%">
                  <c:v>0.9274</c:v>
                </c:pt>
                <c:pt idx="25" formatCode="0.00%">
                  <c:v>0.88780000000000092</c:v>
                </c:pt>
                <c:pt idx="26" formatCode="0.00%">
                  <c:v>0.84440000000000004</c:v>
                </c:pt>
                <c:pt idx="28" formatCode="0.00%">
                  <c:v>0.83000000000000063</c:v>
                </c:pt>
                <c:pt idx="29" formatCode="0.00%">
                  <c:v>0.80780000000000063</c:v>
                </c:pt>
                <c:pt idx="30" formatCode="0.00%">
                  <c:v>0.69000000000000095</c:v>
                </c:pt>
              </c:numCache>
            </c:numRef>
          </c:val>
        </c:ser>
        <c:ser>
          <c:idx val="1"/>
          <c:order val="1"/>
          <c:tx>
            <c:strRef>
              <c:f>Sheet1!$A$3</c:f>
              <c:strCache>
                <c:ptCount val="1"/>
                <c:pt idx="0">
                  <c:v>Repeat US Educated</c:v>
                </c:pt>
              </c:strCache>
            </c:strRef>
          </c:tx>
          <c:dLbls>
            <c:delete val="1"/>
          </c:dLbls>
          <c:cat>
            <c:strRef>
              <c:f>Sheet1!$B$1:$AF$1</c:f>
              <c:strCache>
                <c:ptCount val="31"/>
                <c:pt idx="0">
                  <c:v>2003-Q2 (-0.35)</c:v>
                </c:pt>
                <c:pt idx="1">
                  <c:v>2003 Q3</c:v>
                </c:pt>
                <c:pt idx="2">
                  <c:v>2003 Q4</c:v>
                </c:pt>
                <c:pt idx="4">
                  <c:v>2004 Q2 (-0.28)</c:v>
                </c:pt>
                <c:pt idx="5">
                  <c:v>2004 Q3</c:v>
                </c:pt>
                <c:pt idx="6">
                  <c:v>2004 Q4</c:v>
                </c:pt>
                <c:pt idx="8">
                  <c:v>2006 Q2</c:v>
                </c:pt>
                <c:pt idx="9">
                  <c:v>2006 Q3</c:v>
                </c:pt>
                <c:pt idx="10">
                  <c:v>2006 Q4</c:v>
                </c:pt>
                <c:pt idx="12">
                  <c:v>2007 Q2 (-0.21)</c:v>
                </c:pt>
                <c:pt idx="13">
                  <c:v>2007 Q3</c:v>
                </c:pt>
                <c:pt idx="14">
                  <c:v>2007 Q4</c:v>
                </c:pt>
                <c:pt idx="16">
                  <c:v>2009 Q2</c:v>
                </c:pt>
                <c:pt idx="17">
                  <c:v>2009 Q3</c:v>
                </c:pt>
                <c:pt idx="18">
                  <c:v>2009 Q4</c:v>
                </c:pt>
                <c:pt idx="20">
                  <c:v>2010 Q2 (-0.16)</c:v>
                </c:pt>
                <c:pt idx="21">
                  <c:v>2010 Q3</c:v>
                </c:pt>
                <c:pt idx="22">
                  <c:v>2010 Q4</c:v>
                </c:pt>
                <c:pt idx="24">
                  <c:v>2012 Q2</c:v>
                </c:pt>
                <c:pt idx="25">
                  <c:v>2012 Q3</c:v>
                </c:pt>
                <c:pt idx="26">
                  <c:v>2012 Q4</c:v>
                </c:pt>
                <c:pt idx="28">
                  <c:v>2013 Q2 (0.00)</c:v>
                </c:pt>
                <c:pt idx="29">
                  <c:v>2013 Q3</c:v>
                </c:pt>
                <c:pt idx="30">
                  <c:v>2013 Q4</c:v>
                </c:pt>
              </c:strCache>
            </c:strRef>
          </c:cat>
          <c:val>
            <c:numRef>
              <c:f>Sheet1!$B$3:$AF$3</c:f>
              <c:numCache>
                <c:formatCode>0.0%</c:formatCode>
                <c:ptCount val="31"/>
                <c:pt idx="0">
                  <c:v>0.51700000000000002</c:v>
                </c:pt>
                <c:pt idx="1">
                  <c:v>0.505</c:v>
                </c:pt>
                <c:pt idx="2">
                  <c:v>0.54100000000000004</c:v>
                </c:pt>
                <c:pt idx="4">
                  <c:v>0.47000000000000008</c:v>
                </c:pt>
                <c:pt idx="5">
                  <c:v>0.55600000000000005</c:v>
                </c:pt>
                <c:pt idx="6">
                  <c:v>0.50800000000000001</c:v>
                </c:pt>
                <c:pt idx="8">
                  <c:v>0.52800000000000002</c:v>
                </c:pt>
                <c:pt idx="9">
                  <c:v>0.58400000000000052</c:v>
                </c:pt>
                <c:pt idx="10">
                  <c:v>0.54600000000000004</c:v>
                </c:pt>
                <c:pt idx="12">
                  <c:v>0.41900000000000032</c:v>
                </c:pt>
                <c:pt idx="13">
                  <c:v>0.55500000000000005</c:v>
                </c:pt>
                <c:pt idx="14">
                  <c:v>0.55500000000000005</c:v>
                </c:pt>
                <c:pt idx="16" formatCode="0.00%">
                  <c:v>0.54679999999999995</c:v>
                </c:pt>
                <c:pt idx="17" formatCode="0.00%">
                  <c:v>0.58639999999999959</c:v>
                </c:pt>
                <c:pt idx="18" formatCode="0.00%">
                  <c:v>0.58170000000000055</c:v>
                </c:pt>
                <c:pt idx="20" formatCode="0.00%">
                  <c:v>0.48990000000000061</c:v>
                </c:pt>
                <c:pt idx="21" formatCode="0.00%">
                  <c:v>0.56570000000000065</c:v>
                </c:pt>
                <c:pt idx="22" formatCode="0.00%">
                  <c:v>0.57299999999999995</c:v>
                </c:pt>
                <c:pt idx="24" formatCode="0.00%">
                  <c:v>0.51429999999999998</c:v>
                </c:pt>
                <c:pt idx="25" formatCode="0.00%">
                  <c:v>0.57340000000000002</c:v>
                </c:pt>
                <c:pt idx="26" formatCode="0.00%">
                  <c:v>0.57750000000000001</c:v>
                </c:pt>
                <c:pt idx="28" formatCode="0.00%">
                  <c:v>0.29910000000000031</c:v>
                </c:pt>
                <c:pt idx="29" formatCode="0.00%">
                  <c:v>0.57050000000000001</c:v>
                </c:pt>
                <c:pt idx="30" formatCode="0.00%">
                  <c:v>0.45120000000000005</c:v>
                </c:pt>
              </c:numCache>
            </c:numRef>
          </c:val>
        </c:ser>
        <c:dLbls>
          <c:showVal val="1"/>
        </c:dLbls>
        <c:shape val="box"/>
        <c:axId val="61441920"/>
        <c:axId val="61443456"/>
        <c:axId val="44184000"/>
      </c:bar3DChart>
      <c:catAx>
        <c:axId val="61441920"/>
        <c:scaling>
          <c:orientation val="minMax"/>
        </c:scaling>
        <c:axPos val="b"/>
        <c:tickLblPos val="nextTo"/>
        <c:txPr>
          <a:bodyPr rot="2400000"/>
          <a:lstStyle/>
          <a:p>
            <a:pPr>
              <a:defRPr/>
            </a:pPr>
            <a:endParaRPr lang="en-US"/>
          </a:p>
        </c:txPr>
        <c:crossAx val="61443456"/>
        <c:crosses val="autoZero"/>
        <c:auto val="1"/>
        <c:lblAlgn val="ctr"/>
        <c:lblOffset val="100"/>
        <c:tickMarkSkip val="3"/>
      </c:catAx>
      <c:valAx>
        <c:axId val="61443456"/>
        <c:scaling>
          <c:orientation val="minMax"/>
        </c:scaling>
        <c:axPos val="l"/>
        <c:majorGridlines/>
        <c:numFmt formatCode="0.0%" sourceLinked="1"/>
        <c:tickLblPos val="nextTo"/>
        <c:crossAx val="61441920"/>
        <c:crosses val="autoZero"/>
        <c:crossBetween val="between"/>
      </c:valAx>
      <c:serAx>
        <c:axId val="44184000"/>
        <c:scaling>
          <c:orientation val="minMax"/>
        </c:scaling>
        <c:axPos val="b"/>
        <c:tickLblPos val="none"/>
        <c:crossAx val="61443456"/>
        <c:crosses val="autoZero"/>
      </c:serAx>
    </c:plotArea>
    <c:legend>
      <c:legendPos val="b"/>
      <c:layout>
        <c:manualLayout>
          <c:xMode val="edge"/>
          <c:yMode val="edge"/>
          <c:x val="5.7208241422262364E-2"/>
          <c:y val="0.8127425764569397"/>
          <c:w val="0.42996885409159646"/>
          <c:h val="4.7236524901472191E-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Horvath</dc:creator>
  <cp:keywords/>
  <dc:description/>
  <cp:lastModifiedBy>Dawn Horvath</cp:lastModifiedBy>
  <cp:revision>6</cp:revision>
  <cp:lastPrinted>2014-02-03T19:33:00Z</cp:lastPrinted>
  <dcterms:created xsi:type="dcterms:W3CDTF">2014-02-03T19:56:00Z</dcterms:created>
  <dcterms:modified xsi:type="dcterms:W3CDTF">2014-02-04T15:59:00Z</dcterms:modified>
</cp:coreProperties>
</file>